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A31F" w14:textId="77777777" w:rsidR="00FC44DA" w:rsidRDefault="00D0696C">
      <w:pPr>
        <w:shd w:val="clear" w:color="auto" w:fill="FFFFFF"/>
        <w:spacing w:line="240" w:lineRule="auto"/>
        <w:ind w:left="1" w:hanging="3"/>
        <w:jc w:val="center"/>
        <w:rPr>
          <w:rFonts w:ascii="Arial" w:eastAsia="Arial" w:hAnsi="Arial" w:cs="Arial"/>
          <w:color w:val="222222"/>
          <w:sz w:val="27"/>
          <w:szCs w:val="27"/>
        </w:rPr>
      </w:pPr>
      <w:r>
        <w:rPr>
          <w:rFonts w:ascii="Arial" w:eastAsia="Arial" w:hAnsi="Arial" w:cs="Arial"/>
          <w:b/>
          <w:color w:val="222222"/>
          <w:sz w:val="27"/>
          <w:szCs w:val="27"/>
        </w:rPr>
        <w:t>Urgent and Unscheduled Care (UUSC) Session Log Sheet</w:t>
      </w:r>
    </w:p>
    <w:p w14:paraId="7189C8D5" w14:textId="77777777" w:rsidR="00FC44DA" w:rsidRDefault="00D0696C">
      <w:pPr>
        <w:shd w:val="clear" w:color="auto" w:fill="FFFFFF"/>
        <w:spacing w:line="240" w:lineRule="auto"/>
        <w:ind w:left="1" w:hanging="3"/>
        <w:jc w:val="center"/>
        <w:rPr>
          <w:rFonts w:ascii="Arial" w:eastAsia="Arial" w:hAnsi="Arial" w:cs="Arial"/>
          <w:color w:val="222222"/>
          <w:sz w:val="27"/>
          <w:szCs w:val="27"/>
        </w:rPr>
      </w:pPr>
      <w:r>
        <w:rPr>
          <w:rFonts w:ascii="Arial" w:eastAsia="Arial" w:hAnsi="Arial" w:cs="Arial"/>
          <w:b/>
          <w:color w:val="222222"/>
          <w:sz w:val="27"/>
          <w:szCs w:val="27"/>
        </w:rPr>
        <w:t>Peninsula &amp; Severn GP Schools</w:t>
      </w:r>
    </w:p>
    <w:tbl>
      <w:tblPr>
        <w:tblStyle w:val="a"/>
        <w:tblW w:w="10350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5355"/>
      </w:tblGrid>
      <w:tr w:rsidR="00FC44DA" w14:paraId="368F21F4" w14:textId="77777777">
        <w:tc>
          <w:tcPr>
            <w:tcW w:w="10350" w:type="dxa"/>
            <w:gridSpan w:val="2"/>
          </w:tcPr>
          <w:p w14:paraId="4DEA74C9" w14:textId="77777777" w:rsidR="00FC44DA" w:rsidRDefault="00D0696C">
            <w:pPr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 xml:space="preserve">Type of session: base doctor, telephone triage, mobile doctor, other – describe </w:t>
            </w:r>
          </w:p>
        </w:tc>
      </w:tr>
      <w:tr w:rsidR="00FC44DA" w14:paraId="2C009767" w14:textId="77777777">
        <w:tc>
          <w:tcPr>
            <w:tcW w:w="4995" w:type="dxa"/>
          </w:tcPr>
          <w:p w14:paraId="2C166CCD" w14:textId="77777777" w:rsidR="00FC44DA" w:rsidRDefault="00D0696C">
            <w:pPr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 xml:space="preserve">Trainee: </w:t>
            </w:r>
          </w:p>
        </w:tc>
        <w:tc>
          <w:tcPr>
            <w:tcW w:w="5355" w:type="dxa"/>
          </w:tcPr>
          <w:p w14:paraId="7358C22C" w14:textId="77777777" w:rsidR="00FC44DA" w:rsidRDefault="00D0696C">
            <w:pPr>
              <w:spacing w:after="280"/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 xml:space="preserve">Clinical Supervisor Name: </w:t>
            </w:r>
          </w:p>
          <w:p w14:paraId="2F1DF9B0" w14:textId="77777777" w:rsidR="00FC44DA" w:rsidRDefault="00D0696C">
            <w:pPr>
              <w:spacing w:before="280"/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 xml:space="preserve">Email Contact: </w:t>
            </w:r>
          </w:p>
        </w:tc>
      </w:tr>
      <w:tr w:rsidR="00FC44DA" w14:paraId="17BF5E3A" w14:textId="77777777">
        <w:tc>
          <w:tcPr>
            <w:tcW w:w="4995" w:type="dxa"/>
          </w:tcPr>
          <w:p w14:paraId="2DBD0251" w14:textId="77777777" w:rsidR="00FC44DA" w:rsidRDefault="00D0696C">
            <w:pPr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 xml:space="preserve">Date: </w:t>
            </w:r>
          </w:p>
        </w:tc>
        <w:tc>
          <w:tcPr>
            <w:tcW w:w="5355" w:type="dxa"/>
          </w:tcPr>
          <w:p w14:paraId="470EA43C" w14:textId="77777777" w:rsidR="00FC44DA" w:rsidRDefault="00D0696C">
            <w:pPr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 xml:space="preserve">Start/Finish time: </w:t>
            </w:r>
          </w:p>
        </w:tc>
      </w:tr>
      <w:tr w:rsidR="00FC44DA" w14:paraId="65FE997D" w14:textId="77777777">
        <w:tc>
          <w:tcPr>
            <w:tcW w:w="4995" w:type="dxa"/>
          </w:tcPr>
          <w:p w14:paraId="238E950A" w14:textId="77777777" w:rsidR="00FC44DA" w:rsidRDefault="00D0696C">
            <w:pPr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>Supervision: Observation; Direct; Near; Remote</w:t>
            </w:r>
          </w:p>
        </w:tc>
        <w:tc>
          <w:tcPr>
            <w:tcW w:w="5355" w:type="dxa"/>
          </w:tcPr>
          <w:p w14:paraId="2FF85C6D" w14:textId="77777777" w:rsidR="00FC44DA" w:rsidRDefault="00D0696C">
            <w:pPr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>UUSC Passport available and up to date: Yes / No</w:t>
            </w:r>
          </w:p>
        </w:tc>
      </w:tr>
      <w:tr w:rsidR="00FC44DA" w14:paraId="58E786A7" w14:textId="77777777" w:rsidTr="000E78A3">
        <w:trPr>
          <w:trHeight w:val="1778"/>
        </w:trPr>
        <w:tc>
          <w:tcPr>
            <w:tcW w:w="10350" w:type="dxa"/>
            <w:gridSpan w:val="2"/>
          </w:tcPr>
          <w:p w14:paraId="73532CB8" w14:textId="77777777" w:rsidR="00FC44DA" w:rsidRDefault="00D0696C">
            <w:pPr>
              <w:spacing w:after="28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cases seen with learning events</w:t>
            </w:r>
          </w:p>
        </w:tc>
      </w:tr>
      <w:tr w:rsidR="00FC44DA" w14:paraId="304CB629" w14:textId="77777777">
        <w:trPr>
          <w:trHeight w:val="3016"/>
        </w:trPr>
        <w:tc>
          <w:tcPr>
            <w:tcW w:w="10350" w:type="dxa"/>
            <w:gridSpan w:val="2"/>
          </w:tcPr>
          <w:p w14:paraId="45259F97" w14:textId="77777777" w:rsidR="00FC44DA" w:rsidRDefault="00D0696C">
            <w:pPr>
              <w:spacing w:after="28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This session provides evidence for which of the 5 UUSC capability areas below (please highlight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all that are relevant making brief, anonymous, notes to support this) </w:t>
            </w:r>
          </w:p>
          <w:p w14:paraId="4F684569" w14:textId="77777777" w:rsidR="00FC44DA" w:rsidRDefault="00D0696C">
            <w:pPr>
              <w:spacing w:before="280" w:after="28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1. Knowing yourself and relating to others</w:t>
            </w:r>
          </w:p>
          <w:p w14:paraId="6E3BBA03" w14:textId="77777777" w:rsidR="00FC44DA" w:rsidRDefault="00D0696C">
            <w:pPr>
              <w:spacing w:before="280" w:after="28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2. Applying clinical knowledge and skill</w:t>
            </w:r>
          </w:p>
          <w:p w14:paraId="045C0260" w14:textId="77777777" w:rsidR="00FC44DA" w:rsidRDefault="00D0696C">
            <w:pPr>
              <w:spacing w:before="280" w:after="28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3. Managing complex and long-term care</w:t>
            </w:r>
          </w:p>
          <w:p w14:paraId="58D3C4F6" w14:textId="77777777" w:rsidR="00FC44DA" w:rsidRDefault="00D0696C">
            <w:pPr>
              <w:spacing w:before="280" w:after="28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4. Working well in organisations and systems of care</w:t>
            </w:r>
          </w:p>
          <w:p w14:paraId="4F37F206" w14:textId="77777777" w:rsidR="00FC44DA" w:rsidRDefault="00D0696C">
            <w:pPr>
              <w:spacing w:before="280" w:after="28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5. Caring for the whole person and the wider community </w:t>
            </w:r>
          </w:p>
        </w:tc>
      </w:tr>
      <w:tr w:rsidR="00FC44DA" w14:paraId="20EA368C" w14:textId="77777777" w:rsidTr="000E78A3">
        <w:trPr>
          <w:trHeight w:val="1941"/>
        </w:trPr>
        <w:tc>
          <w:tcPr>
            <w:tcW w:w="10350" w:type="dxa"/>
            <w:gridSpan w:val="2"/>
          </w:tcPr>
          <w:p w14:paraId="09F4FE8B" w14:textId="77777777" w:rsidR="00FC44DA" w:rsidRDefault="00D0696C">
            <w:pPr>
              <w:spacing w:after="280"/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>Learning areas and needs identified (to be discussed with trainer)</w:t>
            </w:r>
          </w:p>
          <w:p w14:paraId="16D5BE17" w14:textId="77777777" w:rsidR="00FC44DA" w:rsidRDefault="00D0696C">
            <w:pPr>
              <w:spacing w:before="280" w:after="280"/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444444"/>
                <w:sz w:val="20"/>
                <w:szCs w:val="20"/>
              </w:rPr>
              <w:t xml:space="preserve">This section is to be completed by the GPST after the session, reflecting on the session and sharing the completed form with </w:t>
            </w:r>
            <w:r>
              <w:rPr>
                <w:rFonts w:ascii="Arial" w:eastAsia="Arial" w:hAnsi="Arial" w:cs="Arial"/>
                <w:b/>
                <w:i/>
                <w:color w:val="444444"/>
                <w:sz w:val="20"/>
                <w:szCs w:val="20"/>
              </w:rPr>
              <w:t>their CS / ES in their GP placement</w:t>
            </w:r>
          </w:p>
        </w:tc>
      </w:tr>
      <w:tr w:rsidR="00FC44DA" w14:paraId="064D5E7B" w14:textId="77777777">
        <w:trPr>
          <w:trHeight w:val="1921"/>
        </w:trPr>
        <w:tc>
          <w:tcPr>
            <w:tcW w:w="10350" w:type="dxa"/>
            <w:gridSpan w:val="2"/>
          </w:tcPr>
          <w:p w14:paraId="543B698E" w14:textId="77777777" w:rsidR="00FC44DA" w:rsidRDefault="00D0696C">
            <w:pPr>
              <w:spacing w:after="28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>Debriefing notes from Clinical Supervisor</w:t>
            </w:r>
          </w:p>
        </w:tc>
      </w:tr>
      <w:tr w:rsidR="00FC44DA" w14:paraId="5A3D6A78" w14:textId="77777777">
        <w:trPr>
          <w:trHeight w:val="1343"/>
        </w:trPr>
        <w:tc>
          <w:tcPr>
            <w:tcW w:w="4995" w:type="dxa"/>
          </w:tcPr>
          <w:p w14:paraId="612E4BC1" w14:textId="77777777" w:rsidR="00FC44DA" w:rsidRDefault="00D0696C">
            <w:pPr>
              <w:spacing w:after="280"/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>Signature of Clinical Supervisor  </w:t>
            </w:r>
          </w:p>
          <w:p w14:paraId="481D185C" w14:textId="77777777" w:rsidR="00FC44DA" w:rsidRDefault="00FC44DA">
            <w:pPr>
              <w:spacing w:before="280" w:after="280"/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</w:p>
          <w:p w14:paraId="1F3C54D2" w14:textId="77777777" w:rsidR="00FC44DA" w:rsidRDefault="00FC44DA">
            <w:pPr>
              <w:spacing w:before="280"/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355" w:type="dxa"/>
          </w:tcPr>
          <w:p w14:paraId="688EB622" w14:textId="77777777" w:rsidR="00FC44DA" w:rsidRDefault="00D0696C">
            <w:pPr>
              <w:spacing w:after="280"/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>Signature of GP Registrar:</w:t>
            </w:r>
          </w:p>
          <w:p w14:paraId="45EE18E2" w14:textId="77777777" w:rsidR="00FC44DA" w:rsidRDefault="00FC44DA">
            <w:pPr>
              <w:spacing w:before="280"/>
              <w:ind w:left="0" w:hanging="2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</w:p>
        </w:tc>
      </w:tr>
    </w:tbl>
    <w:p w14:paraId="53712C14" w14:textId="77777777" w:rsidR="00FC44DA" w:rsidRDefault="00D0696C">
      <w:pP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lastRenderedPageBreak/>
        <w:t>Word Pictures and Notes: For the OOH Clinical Supervisor</w:t>
      </w:r>
    </w:p>
    <w:p w14:paraId="4845D4B7" w14:textId="77777777" w:rsidR="00D0696C" w:rsidRPr="00D0696C" w:rsidRDefault="00D0696C">
      <w:pPr>
        <w:shd w:val="clear" w:color="auto" w:fill="FFFFFF"/>
        <w:spacing w:after="0" w:line="240" w:lineRule="auto"/>
        <w:ind w:left="0" w:hanging="2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2F494AFB" w14:textId="41327881" w:rsidR="00FC44DA" w:rsidRDefault="00D0696C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 xml:space="preserve">Based on this current shift with this trainee - </w:t>
      </w:r>
      <w:r>
        <w:rPr>
          <w:rFonts w:ascii="Arial" w:eastAsia="Arial" w:hAnsi="Arial" w:cs="Arial"/>
          <w:i/>
          <w:color w:val="000000"/>
        </w:rPr>
        <w:t>please place a tick in the boxes in the right-hand column which you feel best describes where the trainee is currently performing. We are not asking you to confirm if they are competent overall in UUSC - but this will assist their Educational Supervisor in</w:t>
      </w:r>
      <w:r>
        <w:rPr>
          <w:rFonts w:ascii="Arial" w:eastAsia="Arial" w:hAnsi="Arial" w:cs="Arial"/>
          <w:i/>
          <w:color w:val="000000"/>
        </w:rPr>
        <w:t xml:space="preserve"> making that decision based on all the pieces of evidence submitted by the trainee over the entire training period.</w:t>
      </w:r>
    </w:p>
    <w:p w14:paraId="29CE4B2A" w14:textId="77777777" w:rsidR="00FC44DA" w:rsidRPr="00D0696C" w:rsidRDefault="00FC44DA">
      <w:p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0"/>
        <w:tblW w:w="10666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943"/>
        <w:gridCol w:w="8222"/>
        <w:gridCol w:w="501"/>
      </w:tblGrid>
      <w:tr w:rsidR="00FC44DA" w14:paraId="615780A0" w14:textId="7777777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44C6" w14:textId="77777777" w:rsidR="00FC44DA" w:rsidRDefault="00D0696C">
            <w:pPr>
              <w:shd w:val="clear" w:color="auto" w:fill="FFFFFF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NEEDS FURTHER </w:t>
            </w:r>
          </w:p>
          <w:p w14:paraId="59295AD0" w14:textId="77777777" w:rsidR="00FC44DA" w:rsidRDefault="00D0696C">
            <w:pPr>
              <w:shd w:val="clear" w:color="auto" w:fill="FFFFFF"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DEVELOPMENT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B335" w14:textId="77777777" w:rsidR="00FC44DA" w:rsidRDefault="00D0696C">
            <w:pPr>
              <w:shd w:val="clear" w:color="auto" w:fill="FFFFFF"/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trainee who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NEEDS FURTHER DEVELOPMENT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UUSC will:</w:t>
            </w:r>
          </w:p>
          <w:p w14:paraId="3120C355" w14:textId="77777777" w:rsidR="00FC44DA" w:rsidRPr="00D0696C" w:rsidRDefault="00FC4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441A153" w14:textId="77777777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need more help than expected for an ST3 at the end of training to manage the common medical, </w:t>
            </w:r>
            <w:proofErr w:type="gramStart"/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surgical</w:t>
            </w:r>
            <w:proofErr w:type="gramEnd"/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psychiatric emergencies.</w:t>
            </w:r>
          </w:p>
          <w:p w14:paraId="62B1B54D" w14:textId="4A035980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be unfamiliar with the key organisational aspects of NHS out of hours care, nationally and at local level</w:t>
            </w:r>
          </w:p>
          <w:p w14:paraId="5AFFB97D" w14:textId="7D8D54DE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need help to make a</w:t>
            </w: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ppropriate referrals to hospitals and other professionals</w:t>
            </w:r>
          </w:p>
          <w:p w14:paraId="21D8767A" w14:textId="31FDD2E4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require frequent contributions from their supervisor to help with communication and consulting skills</w:t>
            </w:r>
          </w:p>
          <w:p w14:paraId="6D8AB18A" w14:textId="77777777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work at a rate significantly at variance from that expected of a newly qualified GP (where too s</w:t>
            </w: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low = less confident and too fast = overconfident)</w:t>
            </w:r>
          </w:p>
          <w:p w14:paraId="3D7127AF" w14:textId="7190539C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need assistance from their supervisor to recognise patients with urgent needs and to act promptly and effectively</w:t>
            </w:r>
          </w:p>
          <w:p w14:paraId="2E881FA2" w14:textId="48E47F42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need significant help to manage their own personal time and stress management</w:t>
            </w:r>
          </w:p>
          <w:p w14:paraId="3E6F26B7" w14:textId="67331A62" w:rsidR="00FC44DA" w:rsidRP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need signific</w:t>
            </w: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ant help to maintain their own personal security, and awareness and management of security risks to others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13A5" w14:textId="77777777" w:rsidR="00FC44DA" w:rsidRDefault="00D0696C">
            <w:pPr>
              <w:shd w:val="clear" w:color="auto" w:fill="FFFFFF"/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4DA" w14:paraId="34E09C9C" w14:textId="7777777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523D" w14:textId="77777777" w:rsidR="00FC44DA" w:rsidRDefault="00D0696C">
            <w:pPr>
              <w:shd w:val="clear" w:color="auto" w:fill="FFFFFF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COMPETENT</w:t>
            </w:r>
          </w:p>
          <w:p w14:paraId="75D5DF60" w14:textId="77777777" w:rsidR="00FC44DA" w:rsidRDefault="00FC44DA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5166" w14:textId="77777777" w:rsidR="00FC44DA" w:rsidRDefault="00D0696C">
            <w:pPr>
              <w:shd w:val="clear" w:color="auto" w:fill="FFFFFF"/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trainee who is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COMPETENT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UUSC will be able to demonstrate that they:</w:t>
            </w:r>
          </w:p>
          <w:p w14:paraId="4D2A82B5" w14:textId="77777777" w:rsidR="00FC44DA" w:rsidRPr="00D0696C" w:rsidRDefault="00FC4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866DEB" w14:textId="00F2DCEC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can manage the common medical, </w:t>
            </w:r>
            <w:proofErr w:type="gramStart"/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surgical</w:t>
            </w:r>
            <w:proofErr w:type="gramEnd"/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psychiatric emergencies (including asking for advice / support where appropriate) with an awareness of an ethical framework of practice which respects patients' autonomy and capacity</w:t>
            </w:r>
          </w:p>
          <w:p w14:paraId="06597EC1" w14:textId="77777777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promote self-care, and suppor</w:t>
            </w: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t patients to manage their care safely with effective safety netting</w:t>
            </w:r>
          </w:p>
          <w:p w14:paraId="4729ED05" w14:textId="00120A54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understand the organisational aspects of NHS out of hours care, nationally and at local level</w:t>
            </w:r>
          </w:p>
          <w:p w14:paraId="34AF20E1" w14:textId="77777777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can make appropriate referrals from any care setting to hospitals and other professionals, in</w:t>
            </w: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cluding co-ordinating care with other professionals and services when there may be a relative lack of support services available in the OOH period </w:t>
            </w:r>
          </w:p>
          <w:p w14:paraId="1FB47E6E" w14:textId="77777777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have the communication and consultation skills required for out of hours care, including some of the more co</w:t>
            </w: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mplex urgent care cases (not exclusively but usually related to challenging mental health or palliative care presentations) </w:t>
            </w:r>
          </w:p>
          <w:p w14:paraId="7A0F83FC" w14:textId="4F22DBA8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can safely manage their workload (in or out of hours) at a rate that would be expected of a newly qualified GP</w:t>
            </w:r>
          </w:p>
          <w:p w14:paraId="4D68EC15" w14:textId="0751A8A4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have the ability to</w:t>
            </w:r>
            <w:proofErr w:type="gramEnd"/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recognise patients with urgent needs and act promptly and effectively</w:t>
            </w:r>
          </w:p>
          <w:p w14:paraId="2FFE4E01" w14:textId="77777777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can manage their own personal time and stress management</w:t>
            </w:r>
          </w:p>
          <w:p w14:paraId="0CE89BD9" w14:textId="37576D06" w:rsidR="00FC44DA" w:rsidRP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can maintain their own personal security, and awareness and management of security risks to others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947F" w14:textId="77777777" w:rsidR="00FC44DA" w:rsidRDefault="00D0696C">
            <w:pPr>
              <w:shd w:val="clear" w:color="auto" w:fill="FFFFFF"/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4DA" w14:paraId="4FEBE1EC" w14:textId="77777777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E9A9" w14:textId="77777777" w:rsidR="00FC44DA" w:rsidRDefault="00D0696C">
            <w:pPr>
              <w:shd w:val="clear" w:color="auto" w:fill="FFFFFF"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EXCELLENT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A023" w14:textId="284BCC9F" w:rsidR="00FC44DA" w:rsidRPr="00D0696C" w:rsidRDefault="00D0696C" w:rsidP="00D0696C">
            <w:pPr>
              <w:shd w:val="clear" w:color="auto" w:fill="FFFFFF"/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trainee who is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EXCELLENT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 UUSC will be able to demonstrate that they meet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of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the criteria above for COMPETENT, plus they: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4CDE5127" w14:textId="77777777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can manage </w:t>
            </w:r>
            <w:proofErr w:type="gramStart"/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all of</w:t>
            </w:r>
            <w:proofErr w:type="gramEnd"/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the common medical, surgical and psychiatric emergencies (including asking for advice / support where appropriate), demonstrating an ethical framework of practice which respects patients' autonomy and capacity and can offer effective support &amp; clinical su</w:t>
            </w: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pervision to other colleagues when needed.</w:t>
            </w:r>
          </w:p>
          <w:p w14:paraId="6ED70BFF" w14:textId="77777777" w:rsid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have the communication and consultation skills required for managing the more complex urgent care cases effectively (not exclusively but usually related to challenging mental health or palliative care presentation</w:t>
            </w: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s) </w:t>
            </w:r>
          </w:p>
          <w:p w14:paraId="365E8A5A" w14:textId="56FACEA9" w:rsidR="00FC44DA" w:rsidRPr="00771974" w:rsidRDefault="00D0696C" w:rsidP="0077197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1974">
              <w:rPr>
                <w:rFonts w:ascii="Arial" w:eastAsia="Arial" w:hAnsi="Arial" w:cs="Arial"/>
                <w:color w:val="000000"/>
                <w:sz w:val="20"/>
                <w:szCs w:val="20"/>
              </w:rPr>
              <w:t>can manage their own personal time and stress management and be aware of how others in their team are performing, and take action to help and support colleagues where necessary 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8186" w14:textId="77777777" w:rsidR="00FC44DA" w:rsidRDefault="00D0696C">
            <w:pPr>
              <w:shd w:val="clear" w:color="auto" w:fill="FFFFFF"/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746F852" w14:textId="77777777" w:rsidR="00FC44DA" w:rsidRDefault="00FC44DA" w:rsidP="00D0696C">
      <w:pPr>
        <w:pStyle w:val="Subtitle"/>
        <w:tabs>
          <w:tab w:val="left" w:pos="9510"/>
        </w:tabs>
        <w:ind w:leftChars="0" w:left="0" w:firstLineChars="0" w:firstLine="0"/>
        <w:jc w:val="left"/>
      </w:pPr>
    </w:p>
    <w:sectPr w:rsidR="00FC44DA" w:rsidSect="00D06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8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1B34" w14:textId="77777777" w:rsidR="00FA535C" w:rsidRDefault="00FA535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ECA095" w14:textId="77777777" w:rsidR="00FA535C" w:rsidRDefault="00FA53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280E" w14:textId="77777777" w:rsidR="00771974" w:rsidRDefault="0077197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7E1D" w14:textId="22767191" w:rsidR="00FC44DA" w:rsidRDefault="007719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right"/>
      <w:rPr>
        <w:color w:val="000000"/>
        <w:sz w:val="16"/>
        <w:szCs w:val="16"/>
      </w:rPr>
    </w:pPr>
    <w:r w:rsidRPr="00771974">
      <w:rPr>
        <w:color w:val="000000"/>
        <w:sz w:val="16"/>
        <w:szCs w:val="16"/>
      </w:rPr>
      <w:ptab w:relativeTo="margin" w:alignment="center" w:leader="none"/>
    </w:r>
    <w:r w:rsidRPr="00771974">
      <w:rPr>
        <w:color w:val="000000"/>
        <w:sz w:val="16"/>
        <w:szCs w:val="16"/>
      </w:rPr>
      <w:ptab w:relativeTo="margin" w:alignment="right" w:leader="none"/>
    </w:r>
    <w:r>
      <w:rPr>
        <w:color w:val="000000"/>
        <w:sz w:val="16"/>
        <w:szCs w:val="16"/>
      </w:rPr>
      <w:t>Updated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5490" w14:textId="77777777" w:rsidR="00771974" w:rsidRDefault="0077197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47C0" w14:textId="77777777" w:rsidR="00FA535C" w:rsidRDefault="00FA53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8368A1" w14:textId="77777777" w:rsidR="00FA535C" w:rsidRDefault="00FA53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942A" w14:textId="77777777" w:rsidR="00771974" w:rsidRDefault="0077197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D13A" w14:textId="77777777" w:rsidR="00771974" w:rsidRDefault="0077197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9327" w14:textId="77777777" w:rsidR="00771974" w:rsidRDefault="0077197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14D"/>
    <w:multiLevelType w:val="hybridMultilevel"/>
    <w:tmpl w:val="F7540AFA"/>
    <w:lvl w:ilvl="0" w:tplc="DB0259D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301A"/>
    <w:multiLevelType w:val="multilevel"/>
    <w:tmpl w:val="0C4AD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67625E85"/>
    <w:multiLevelType w:val="multilevel"/>
    <w:tmpl w:val="DB38A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7BEB3287"/>
    <w:multiLevelType w:val="multilevel"/>
    <w:tmpl w:val="2312F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2079552441">
    <w:abstractNumId w:val="2"/>
  </w:num>
  <w:num w:numId="2" w16cid:durableId="681516373">
    <w:abstractNumId w:val="1"/>
  </w:num>
  <w:num w:numId="3" w16cid:durableId="1570116071">
    <w:abstractNumId w:val="3"/>
  </w:num>
  <w:num w:numId="4" w16cid:durableId="39042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DA"/>
    <w:rsid w:val="000E78A3"/>
    <w:rsid w:val="00771974"/>
    <w:rsid w:val="00D0696C"/>
    <w:rsid w:val="00E20D97"/>
    <w:rsid w:val="00FA535C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6D56B"/>
  <w15:docId w15:val="{4C6F6392-BD77-4519-A034-01E414B9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rPr>
      <w:rFonts w:ascii="Times New Roman" w:hAnsi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ScpBUql0S72LboYkI0E2FBKx4g==">CgMxLjA4AHIhMWw4NHJDaFYyWldidXRtR1dtTHBfWEVaeW5DLXNYZHBC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Primary Care Staff</dc:creator>
  <cp:lastModifiedBy>Dee Holley</cp:lastModifiedBy>
  <cp:revision>2</cp:revision>
  <dcterms:created xsi:type="dcterms:W3CDTF">2023-07-19T14:01:00Z</dcterms:created>
  <dcterms:modified xsi:type="dcterms:W3CDTF">2023-07-19T14:01:00Z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6b66ce8894b6c3c282f60aecffbbe266643b5cfeb8fb51d1527112abcccba06e</vt:lpwstr>
  </property>
</Properties>
</file>